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095E" w14:textId="40EC8C7F" w:rsidR="0008046D" w:rsidRPr="006362B5" w:rsidRDefault="00897FA6" w:rsidP="00D44FAB">
      <w:pPr>
        <w:pStyle w:val="Ttulo1"/>
        <w:jc w:val="center"/>
        <w:rPr>
          <w:rFonts w:ascii="Aptos" w:hAnsi="Aptos"/>
          <w:i/>
          <w:iCs/>
          <w:color w:val="auto"/>
          <w:sz w:val="24"/>
          <w:szCs w:val="24"/>
          <w:lang w:val="es-CR"/>
        </w:rPr>
      </w:pPr>
      <w:r w:rsidRPr="006362B5">
        <w:rPr>
          <w:rFonts w:ascii="Aptos" w:hAnsi="Aptos"/>
          <w:color w:val="auto"/>
          <w:sz w:val="24"/>
          <w:szCs w:val="24"/>
          <w:lang w:val="es-CR"/>
        </w:rPr>
        <w:t xml:space="preserve">Directrices sobre el uso de Inteligencia Artificial para Revisores </w:t>
      </w:r>
      <w:r w:rsidRPr="006362B5">
        <w:rPr>
          <w:rFonts w:ascii="Aptos" w:hAnsi="Aptos"/>
          <w:i/>
          <w:iCs/>
          <w:color w:val="auto"/>
          <w:sz w:val="24"/>
          <w:szCs w:val="24"/>
          <w:lang w:val="es-CR"/>
        </w:rPr>
        <w:t>– Revista Comunicación</w:t>
      </w:r>
    </w:p>
    <w:p w14:paraId="3F20E7A4" w14:textId="77777777" w:rsidR="00DE1195" w:rsidRPr="006362B5" w:rsidRDefault="00DE1195" w:rsidP="00D44FAB">
      <w:pPr>
        <w:jc w:val="both"/>
        <w:rPr>
          <w:rFonts w:ascii="Aptos" w:hAnsi="Aptos"/>
          <w:lang w:val="es-CR"/>
        </w:rPr>
      </w:pPr>
    </w:p>
    <w:p w14:paraId="6FED47A4" w14:textId="3FC0FDB1" w:rsidR="0008046D" w:rsidRPr="006362B5" w:rsidRDefault="00897FA6" w:rsidP="00D44FAB">
      <w:pPr>
        <w:jc w:val="both"/>
        <w:rPr>
          <w:rFonts w:ascii="Aptos" w:hAnsi="Aptos"/>
          <w:lang w:val="es-CR"/>
        </w:rPr>
      </w:pPr>
      <w:r w:rsidRPr="006362B5">
        <w:rPr>
          <w:rFonts w:ascii="Aptos" w:hAnsi="Aptos"/>
          <w:lang w:val="es-CR"/>
        </w:rPr>
        <w:t xml:space="preserve">La </w:t>
      </w:r>
      <w:r w:rsidRPr="006362B5">
        <w:rPr>
          <w:rFonts w:ascii="Aptos" w:hAnsi="Aptos"/>
          <w:i/>
          <w:iCs/>
          <w:lang w:val="es-CR"/>
        </w:rPr>
        <w:t>Revista Comunicación,</w:t>
      </w:r>
      <w:r w:rsidRPr="006362B5">
        <w:rPr>
          <w:rFonts w:ascii="Aptos" w:hAnsi="Aptos"/>
          <w:lang w:val="es-CR"/>
        </w:rPr>
        <w:t xml:space="preserve"> en coherencia con las orientaciones éticas internacionales sobre publicación científica</w:t>
      </w:r>
      <w:r w:rsidR="0066112B" w:rsidRPr="006362B5">
        <w:rPr>
          <w:rFonts w:ascii="Aptos" w:hAnsi="Aptos"/>
          <w:lang w:val="es-CR"/>
        </w:rPr>
        <w:t xml:space="preserve"> (ver referencias)</w:t>
      </w:r>
      <w:r w:rsidRPr="006362B5">
        <w:rPr>
          <w:rFonts w:ascii="Aptos" w:hAnsi="Aptos"/>
          <w:lang w:val="es-CR"/>
        </w:rPr>
        <w:t>, establece las siguientes directrices para el uso de herramientas de inteligencia artificial (IA) durante el proceso de revisión por pares.</w:t>
      </w:r>
    </w:p>
    <w:p w14:paraId="7CE25F60" w14:textId="77777777" w:rsidR="0008046D" w:rsidRPr="006362B5" w:rsidRDefault="00897FA6" w:rsidP="00D44FAB">
      <w:pPr>
        <w:pStyle w:val="Ttulo2"/>
        <w:jc w:val="both"/>
        <w:rPr>
          <w:rFonts w:ascii="Aptos" w:hAnsi="Aptos"/>
          <w:color w:val="auto"/>
          <w:sz w:val="22"/>
          <w:szCs w:val="22"/>
          <w:lang w:val="es-CR"/>
        </w:rPr>
      </w:pPr>
      <w:r w:rsidRPr="006362B5">
        <w:rPr>
          <w:rFonts w:ascii="Aptos" w:hAnsi="Aptos"/>
          <w:color w:val="auto"/>
          <w:sz w:val="22"/>
          <w:szCs w:val="22"/>
          <w:lang w:val="es-CR"/>
        </w:rPr>
        <w:t>1. Confidencialidad del manuscrito</w:t>
      </w:r>
    </w:p>
    <w:p w14:paraId="1371EF5F" w14:textId="77777777" w:rsidR="0008046D" w:rsidRPr="006362B5" w:rsidRDefault="00897FA6" w:rsidP="00D44FAB">
      <w:pPr>
        <w:jc w:val="both"/>
        <w:rPr>
          <w:rFonts w:ascii="Aptos" w:hAnsi="Aptos"/>
          <w:lang w:val="es-CR"/>
        </w:rPr>
      </w:pPr>
      <w:r w:rsidRPr="006362B5">
        <w:rPr>
          <w:rFonts w:ascii="Aptos" w:hAnsi="Aptos"/>
          <w:lang w:val="es-CR"/>
        </w:rPr>
        <w:t>Los manuscritos en proceso de evaluación constituyen material confidencial y propiedad intelectual no publicada. Su contenido no debe ser expuesto a herramientas externas de IA generativa.</w:t>
      </w:r>
    </w:p>
    <w:p w14:paraId="14F8CEFB" w14:textId="77777777" w:rsidR="0008046D" w:rsidRPr="006362B5" w:rsidRDefault="00897FA6" w:rsidP="00D44FAB">
      <w:pPr>
        <w:pStyle w:val="Ttulo2"/>
        <w:jc w:val="both"/>
        <w:rPr>
          <w:rFonts w:ascii="Aptos" w:hAnsi="Aptos"/>
          <w:color w:val="auto"/>
          <w:sz w:val="22"/>
          <w:szCs w:val="22"/>
          <w:lang w:val="es-CR"/>
        </w:rPr>
      </w:pPr>
      <w:r w:rsidRPr="006362B5">
        <w:rPr>
          <w:rFonts w:ascii="Aptos" w:hAnsi="Aptos"/>
          <w:color w:val="auto"/>
          <w:sz w:val="22"/>
          <w:szCs w:val="22"/>
          <w:lang w:val="es-CR"/>
        </w:rPr>
        <w:t>2. Uso restringido de IA por parte de revisores</w:t>
      </w:r>
    </w:p>
    <w:p w14:paraId="51A84F06" w14:textId="77777777" w:rsidR="00DE1195" w:rsidRPr="006362B5" w:rsidRDefault="00897FA6" w:rsidP="00D44FAB">
      <w:pPr>
        <w:jc w:val="both"/>
        <w:rPr>
          <w:rFonts w:ascii="Aptos" w:hAnsi="Aptos"/>
          <w:lang w:val="es-CR"/>
        </w:rPr>
      </w:pPr>
      <w:r w:rsidRPr="006362B5">
        <w:rPr>
          <w:rFonts w:ascii="Aptos" w:hAnsi="Aptos"/>
          <w:lang w:val="es-CR"/>
        </w:rPr>
        <w:t>Los revisores y editores no deben ingresar texto, datos, tablas, imágenes ni fragmentos del manuscrito en herramientas de IA generativa.</w:t>
      </w:r>
    </w:p>
    <w:p w14:paraId="282920E4" w14:textId="5ECF4C20" w:rsidR="0008046D" w:rsidRPr="006362B5" w:rsidRDefault="00897FA6" w:rsidP="00D44FAB">
      <w:pPr>
        <w:jc w:val="both"/>
        <w:rPr>
          <w:rFonts w:ascii="Aptos" w:hAnsi="Aptos"/>
          <w:lang w:val="es-CR"/>
        </w:rPr>
      </w:pPr>
      <w:r w:rsidRPr="006362B5">
        <w:rPr>
          <w:rFonts w:ascii="Aptos" w:hAnsi="Aptos"/>
          <w:lang w:val="es-CR"/>
        </w:rPr>
        <w:t>El uso de IA por parte de revisores solo se considera aceptable para mejorar la redacción, traducción u organización de su propio dictamen, sin incluir contenido del manuscrito evaluado.</w:t>
      </w:r>
    </w:p>
    <w:p w14:paraId="4CDF9D06" w14:textId="77777777" w:rsidR="0008046D" w:rsidRPr="006362B5" w:rsidRDefault="00897FA6" w:rsidP="00D44FAB">
      <w:pPr>
        <w:pStyle w:val="Ttulo2"/>
        <w:jc w:val="both"/>
        <w:rPr>
          <w:rFonts w:ascii="Aptos" w:hAnsi="Aptos"/>
          <w:color w:val="auto"/>
          <w:sz w:val="22"/>
          <w:szCs w:val="22"/>
          <w:lang w:val="es-CR"/>
        </w:rPr>
      </w:pPr>
      <w:r w:rsidRPr="006362B5">
        <w:rPr>
          <w:rFonts w:ascii="Aptos" w:hAnsi="Aptos"/>
          <w:color w:val="auto"/>
          <w:sz w:val="22"/>
          <w:szCs w:val="22"/>
          <w:lang w:val="es-CR"/>
        </w:rPr>
        <w:t>3. Responsabilidad del dictamen</w:t>
      </w:r>
    </w:p>
    <w:p w14:paraId="3997D2FC" w14:textId="77777777" w:rsidR="0008046D" w:rsidRPr="006362B5" w:rsidRDefault="00897FA6" w:rsidP="00D44FAB">
      <w:pPr>
        <w:jc w:val="both"/>
        <w:rPr>
          <w:rFonts w:ascii="Aptos" w:hAnsi="Aptos"/>
          <w:lang w:val="es-CR"/>
        </w:rPr>
      </w:pPr>
      <w:r w:rsidRPr="006362B5">
        <w:rPr>
          <w:rFonts w:ascii="Aptos" w:hAnsi="Aptos"/>
          <w:lang w:val="es-CR"/>
        </w:rPr>
        <w:t>La evaluación académica debe reflejar el juicio crítico, personal y experto del revisor. La IA no debe utilizarse para analizar, resumir, evaluar o emitir criterios sobre el contenido del artículo sometido.</w:t>
      </w:r>
    </w:p>
    <w:p w14:paraId="4D89996F" w14:textId="77777777" w:rsidR="00C5301B" w:rsidRPr="006362B5" w:rsidRDefault="00C5301B" w:rsidP="00D44FAB">
      <w:pPr>
        <w:jc w:val="both"/>
        <w:rPr>
          <w:rFonts w:ascii="Aptos" w:hAnsi="Aptos"/>
          <w:lang w:val="es-CR"/>
        </w:rPr>
      </w:pPr>
    </w:p>
    <w:p w14:paraId="74280682" w14:textId="77777777" w:rsidR="00C5301B" w:rsidRPr="006362B5" w:rsidRDefault="00C5301B" w:rsidP="00D44FAB">
      <w:pPr>
        <w:jc w:val="both"/>
        <w:rPr>
          <w:rFonts w:ascii="Aptos" w:eastAsiaTheme="majorEastAsia" w:hAnsi="Aptos" w:cstheme="majorBidi"/>
          <w:b/>
          <w:bCs/>
          <w:lang w:val="es-CR"/>
        </w:rPr>
      </w:pPr>
      <w:r w:rsidRPr="006362B5">
        <w:rPr>
          <w:rFonts w:ascii="Aptos" w:eastAsiaTheme="majorEastAsia" w:hAnsi="Aptos" w:cstheme="majorBidi"/>
          <w:b/>
          <w:bCs/>
          <w:lang w:val="es-CR"/>
        </w:rPr>
        <w:t>Referencias</w:t>
      </w:r>
    </w:p>
    <w:p w14:paraId="663B6512" w14:textId="18045174" w:rsidR="00D44FAB" w:rsidRPr="006362B5" w:rsidRDefault="00C5301B" w:rsidP="00D44FAB">
      <w:pPr>
        <w:ind w:left="426" w:hanging="425"/>
        <w:jc w:val="both"/>
        <w:rPr>
          <w:rFonts w:ascii="Aptos" w:hAnsi="Aptos"/>
        </w:rPr>
      </w:pPr>
      <w:r w:rsidRPr="006362B5">
        <w:rPr>
          <w:rFonts w:ascii="Aptos" w:hAnsi="Aptos"/>
          <w:lang w:val="es-CR"/>
        </w:rPr>
        <w:t xml:space="preserve">Authier, C. N., &amp; De Volder, C. (2025). </w:t>
      </w:r>
      <w:r w:rsidRPr="006362B5">
        <w:rPr>
          <w:rFonts w:ascii="Aptos" w:hAnsi="Aptos"/>
          <w:i/>
          <w:iCs/>
          <w:lang w:val="es-CR"/>
        </w:rPr>
        <w:t>Decálogo para el uso ético de la inteligencia artificial en revistas científicas y académicas</w:t>
      </w:r>
      <w:r w:rsidRPr="006362B5">
        <w:rPr>
          <w:rFonts w:ascii="Aptos" w:hAnsi="Aptos"/>
          <w:lang w:val="es-CR"/>
        </w:rPr>
        <w:t xml:space="preserve"> (v1). </w:t>
      </w:r>
      <w:r w:rsidRPr="006362B5">
        <w:rPr>
          <w:rFonts w:ascii="Aptos" w:hAnsi="Aptos"/>
        </w:rPr>
        <w:t xml:space="preserve">Zenodo. </w:t>
      </w:r>
      <w:hyperlink r:id="rId6" w:history="1">
        <w:r w:rsidR="00D44FAB" w:rsidRPr="006362B5">
          <w:rPr>
            <w:rStyle w:val="Hipervnculo"/>
            <w:rFonts w:ascii="Aptos" w:hAnsi="Aptos"/>
          </w:rPr>
          <w:t>https://doi.org/10.5281/zenodo.16044716</w:t>
        </w:r>
      </w:hyperlink>
    </w:p>
    <w:p w14:paraId="17C62AF3" w14:textId="78B59C63" w:rsidR="00D44FAB" w:rsidRPr="006362B5" w:rsidRDefault="00D44FAB" w:rsidP="00D44FAB">
      <w:pPr>
        <w:ind w:left="426" w:hanging="425"/>
        <w:jc w:val="both"/>
        <w:rPr>
          <w:rFonts w:ascii="Aptos" w:hAnsi="Aptos"/>
        </w:rPr>
      </w:pPr>
      <w:r w:rsidRPr="006362B5">
        <w:rPr>
          <w:rFonts w:ascii="Aptos" w:hAnsi="Aptos"/>
        </w:rPr>
        <w:t xml:space="preserve">BMJ. (s. f.). </w:t>
      </w:r>
      <w:r w:rsidRPr="006362B5">
        <w:rPr>
          <w:rFonts w:ascii="Aptos" w:hAnsi="Aptos"/>
          <w:i/>
          <w:iCs/>
        </w:rPr>
        <w:t>AI use in manuscripts and peer review</w:t>
      </w:r>
      <w:r w:rsidRPr="006362B5">
        <w:rPr>
          <w:rFonts w:ascii="Aptos" w:hAnsi="Aptos"/>
        </w:rPr>
        <w:t xml:space="preserve">. </w:t>
      </w:r>
      <w:hyperlink r:id="rId7" w:history="1">
        <w:r w:rsidRPr="006362B5">
          <w:rPr>
            <w:rStyle w:val="Hipervnculo"/>
            <w:rFonts w:ascii="Aptos" w:hAnsi="Aptos"/>
          </w:rPr>
          <w:t>https://www.bmj.com/about-bmj/resources-authors/article-submission/ai-use</w:t>
        </w:r>
      </w:hyperlink>
      <w:r w:rsidRPr="006362B5">
        <w:rPr>
          <w:rFonts w:ascii="Aptos" w:hAnsi="Aptos"/>
        </w:rPr>
        <w:t xml:space="preserve"> </w:t>
      </w:r>
    </w:p>
    <w:p w14:paraId="7DCDE355" w14:textId="77777777" w:rsidR="00C5301B" w:rsidRPr="006362B5" w:rsidRDefault="00C5301B" w:rsidP="00D44FAB">
      <w:pPr>
        <w:ind w:left="426" w:hanging="425"/>
        <w:jc w:val="both"/>
        <w:rPr>
          <w:rFonts w:ascii="Aptos" w:hAnsi="Aptos"/>
        </w:rPr>
      </w:pPr>
      <w:r w:rsidRPr="006362B5">
        <w:rPr>
          <w:rFonts w:ascii="Aptos" w:hAnsi="Aptos"/>
        </w:rPr>
        <w:t xml:space="preserve">Committee on Publication Ethics. (2023). </w:t>
      </w:r>
      <w:r w:rsidRPr="006362B5">
        <w:rPr>
          <w:rFonts w:ascii="Aptos" w:hAnsi="Aptos"/>
          <w:i/>
          <w:iCs/>
        </w:rPr>
        <w:t>COPE position statement on AI tools and authorship</w:t>
      </w:r>
      <w:r w:rsidRPr="006362B5">
        <w:rPr>
          <w:rFonts w:ascii="Aptos" w:hAnsi="Aptos"/>
        </w:rPr>
        <w:t xml:space="preserve">. </w:t>
      </w:r>
      <w:hyperlink r:id="rId8" w:tgtFrame="_new" w:history="1">
        <w:r w:rsidRPr="006362B5">
          <w:rPr>
            <w:rStyle w:val="Hipervnculo"/>
            <w:rFonts w:ascii="Aptos" w:hAnsi="Aptos"/>
          </w:rPr>
          <w:t>https://publicationethics.org/guidance/cope-position/authorship-and-ai-tools</w:t>
        </w:r>
      </w:hyperlink>
    </w:p>
    <w:p w14:paraId="5E972339" w14:textId="77777777" w:rsidR="00C5301B" w:rsidRPr="006362B5" w:rsidRDefault="00C5301B" w:rsidP="00D44FAB">
      <w:pPr>
        <w:ind w:left="426" w:hanging="425"/>
        <w:jc w:val="both"/>
        <w:rPr>
          <w:rFonts w:ascii="Aptos" w:hAnsi="Aptos"/>
        </w:rPr>
      </w:pPr>
      <w:r w:rsidRPr="006362B5">
        <w:rPr>
          <w:rFonts w:ascii="Aptos" w:hAnsi="Aptos"/>
        </w:rPr>
        <w:t xml:space="preserve">Elsevier. (s. f.). </w:t>
      </w:r>
      <w:r w:rsidRPr="006362B5">
        <w:rPr>
          <w:rFonts w:ascii="Aptos" w:hAnsi="Aptos"/>
          <w:i/>
          <w:iCs/>
        </w:rPr>
        <w:t>Generative AI policies for journals</w:t>
      </w:r>
      <w:r w:rsidRPr="006362B5">
        <w:rPr>
          <w:rFonts w:ascii="Aptos" w:hAnsi="Aptos"/>
        </w:rPr>
        <w:t xml:space="preserve">. </w:t>
      </w:r>
      <w:hyperlink r:id="rId9" w:tgtFrame="_new" w:history="1">
        <w:r w:rsidRPr="006362B5">
          <w:rPr>
            <w:rStyle w:val="Hipervnculo"/>
            <w:rFonts w:ascii="Aptos" w:hAnsi="Aptos"/>
          </w:rPr>
          <w:t>https://www.elsevier.com/about/policies-and-standards/generative-ai-policies-for-journals</w:t>
        </w:r>
      </w:hyperlink>
    </w:p>
    <w:p w14:paraId="672F188C" w14:textId="77777777" w:rsidR="00C5301B" w:rsidRPr="006362B5" w:rsidRDefault="00C5301B" w:rsidP="00D44FAB">
      <w:pPr>
        <w:ind w:left="426" w:hanging="425"/>
        <w:jc w:val="both"/>
        <w:rPr>
          <w:rFonts w:ascii="Aptos" w:hAnsi="Aptos"/>
        </w:rPr>
      </w:pPr>
      <w:r w:rsidRPr="006362B5">
        <w:rPr>
          <w:rFonts w:ascii="Aptos" w:hAnsi="Aptos"/>
        </w:rPr>
        <w:lastRenderedPageBreak/>
        <w:t xml:space="preserve">International Committee of Medical Journal Editors. (2023). </w:t>
      </w:r>
      <w:r w:rsidRPr="006362B5">
        <w:rPr>
          <w:rFonts w:ascii="Aptos" w:hAnsi="Aptos"/>
          <w:i/>
          <w:iCs/>
        </w:rPr>
        <w:t>Defining the role of authors and contributors</w:t>
      </w:r>
      <w:r w:rsidRPr="006362B5">
        <w:rPr>
          <w:rFonts w:ascii="Aptos" w:hAnsi="Aptos"/>
        </w:rPr>
        <w:t xml:space="preserve">. </w:t>
      </w:r>
      <w:hyperlink r:id="rId10" w:tgtFrame="_new" w:history="1">
        <w:r w:rsidRPr="006362B5">
          <w:rPr>
            <w:rStyle w:val="Hipervnculo"/>
            <w:rFonts w:ascii="Aptos" w:hAnsi="Aptos"/>
          </w:rPr>
          <w:t>https://www.icmje.org/recommendations/browse/roles-and-responsibilities/defining-the-role-of-authors-and-contributors.html</w:t>
        </w:r>
      </w:hyperlink>
    </w:p>
    <w:p w14:paraId="56A257A0" w14:textId="6B673FA3" w:rsidR="00D44FAB" w:rsidRPr="006362B5" w:rsidRDefault="00D44FAB" w:rsidP="00D44FAB">
      <w:pPr>
        <w:ind w:left="426" w:hanging="425"/>
        <w:jc w:val="both"/>
        <w:rPr>
          <w:rFonts w:ascii="Aptos" w:hAnsi="Aptos"/>
        </w:rPr>
      </w:pPr>
      <w:r w:rsidRPr="006362B5">
        <w:rPr>
          <w:rFonts w:ascii="Aptos" w:hAnsi="Aptos"/>
        </w:rPr>
        <w:t xml:space="preserve">PLOS. (s. f.). </w:t>
      </w:r>
      <w:r w:rsidRPr="006362B5">
        <w:rPr>
          <w:rFonts w:ascii="Aptos" w:hAnsi="Aptos"/>
          <w:i/>
          <w:iCs/>
        </w:rPr>
        <w:t>Ethical publishing practice</w:t>
      </w:r>
      <w:r w:rsidRPr="006362B5">
        <w:rPr>
          <w:rFonts w:ascii="Aptos" w:hAnsi="Aptos"/>
        </w:rPr>
        <w:t xml:space="preserve">. </w:t>
      </w:r>
      <w:hyperlink r:id="rId11" w:tgtFrame="_new" w:history="1">
        <w:r w:rsidRPr="006362B5">
          <w:rPr>
            <w:rStyle w:val="Hipervnculo"/>
            <w:rFonts w:ascii="Aptos" w:hAnsi="Aptos"/>
          </w:rPr>
          <w:t>https://journals.plos.org/plosone/s/ethical-publishing-practice</w:t>
        </w:r>
      </w:hyperlink>
    </w:p>
    <w:p w14:paraId="37A70AA1" w14:textId="73015390" w:rsidR="00D44FAB" w:rsidRPr="006362B5" w:rsidRDefault="00D44FAB" w:rsidP="00D44FAB">
      <w:pPr>
        <w:ind w:left="426" w:hanging="425"/>
        <w:jc w:val="both"/>
        <w:rPr>
          <w:rFonts w:ascii="Aptos" w:hAnsi="Aptos"/>
        </w:rPr>
      </w:pPr>
      <w:r w:rsidRPr="006362B5">
        <w:rPr>
          <w:rFonts w:ascii="Aptos" w:hAnsi="Aptos"/>
          <w:lang w:val="es-CR"/>
        </w:rPr>
        <w:t xml:space="preserve">Revista Tecnología en Marcha. (2024). </w:t>
      </w:r>
      <w:r w:rsidRPr="006362B5">
        <w:rPr>
          <w:rFonts w:ascii="Aptos" w:hAnsi="Aptos"/>
          <w:i/>
          <w:iCs/>
          <w:lang w:val="es-CR"/>
        </w:rPr>
        <w:t>Política editorial sobre el uso responsable de Inteligencia Artificial (IA) en la revista Tecnología en Marcha</w:t>
      </w:r>
      <w:r w:rsidRPr="006362B5">
        <w:rPr>
          <w:rFonts w:ascii="Aptos" w:hAnsi="Aptos"/>
          <w:lang w:val="es-CR"/>
        </w:rPr>
        <w:t xml:space="preserve">. Editorial Tecnológica de Costa Rica, Instituto Tecnológico de Costa Rica. </w:t>
      </w:r>
      <w:hyperlink r:id="rId12" w:tgtFrame="_new" w:history="1">
        <w:r w:rsidRPr="006362B5">
          <w:rPr>
            <w:rStyle w:val="Hipervnculo"/>
            <w:rFonts w:ascii="Aptos" w:hAnsi="Aptos"/>
          </w:rPr>
          <w:t>https://revistas.tec.ac.cr/index.php/tec_marcha/libraryFiles/downloadPublic/115</w:t>
        </w:r>
      </w:hyperlink>
    </w:p>
    <w:p w14:paraId="14CDA0B5" w14:textId="77777777" w:rsidR="00C5301B" w:rsidRPr="006362B5" w:rsidRDefault="00C5301B" w:rsidP="00D44FAB">
      <w:pPr>
        <w:ind w:left="426" w:hanging="425"/>
        <w:jc w:val="both"/>
        <w:rPr>
          <w:rFonts w:ascii="Aptos" w:hAnsi="Aptos"/>
          <w:lang w:val="fr-FR"/>
        </w:rPr>
      </w:pPr>
      <w:r w:rsidRPr="006362B5">
        <w:rPr>
          <w:rFonts w:ascii="Aptos" w:hAnsi="Aptos"/>
        </w:rPr>
        <w:t xml:space="preserve">Springer Nature. (s. f.). </w:t>
      </w:r>
      <w:r w:rsidRPr="006362B5">
        <w:rPr>
          <w:rFonts w:ascii="Aptos" w:hAnsi="Aptos"/>
          <w:i/>
          <w:iCs/>
        </w:rPr>
        <w:t>Editorial policies</w:t>
      </w:r>
      <w:r w:rsidRPr="006362B5">
        <w:rPr>
          <w:rFonts w:ascii="Aptos" w:hAnsi="Aptos"/>
        </w:rPr>
        <w:t xml:space="preserve">. </w:t>
      </w:r>
      <w:hyperlink r:id="rId13" w:tgtFrame="_new" w:history="1">
        <w:r w:rsidRPr="006362B5">
          <w:rPr>
            <w:rStyle w:val="Hipervnculo"/>
            <w:rFonts w:ascii="Aptos" w:hAnsi="Aptos"/>
            <w:lang w:val="fr-FR"/>
          </w:rPr>
          <w:t>https://www.springernature.com/gp/policies/editorial-policies</w:t>
        </w:r>
      </w:hyperlink>
    </w:p>
    <w:p w14:paraId="6106D7F7" w14:textId="1D6A2D04" w:rsidR="00D44FAB" w:rsidRPr="006362B5" w:rsidRDefault="00C5301B" w:rsidP="00D44FAB">
      <w:pPr>
        <w:ind w:left="426" w:hanging="425"/>
        <w:jc w:val="both"/>
        <w:rPr>
          <w:rFonts w:ascii="Aptos" w:hAnsi="Aptos"/>
        </w:rPr>
      </w:pPr>
      <w:r w:rsidRPr="006362B5">
        <w:rPr>
          <w:rFonts w:ascii="Aptos" w:hAnsi="Aptos"/>
          <w:lang w:val="fr-FR"/>
        </w:rPr>
        <w:t xml:space="preserve">Taylor &amp; Francis. </w:t>
      </w:r>
      <w:r w:rsidRPr="006362B5">
        <w:rPr>
          <w:rFonts w:ascii="Aptos" w:hAnsi="Aptos"/>
        </w:rPr>
        <w:t xml:space="preserve">(s. f.). </w:t>
      </w:r>
      <w:r w:rsidRPr="006362B5">
        <w:rPr>
          <w:rFonts w:ascii="Aptos" w:hAnsi="Aptos"/>
          <w:i/>
          <w:iCs/>
        </w:rPr>
        <w:t>AI policy</w:t>
      </w:r>
      <w:r w:rsidRPr="006362B5">
        <w:rPr>
          <w:rFonts w:ascii="Aptos" w:hAnsi="Aptos"/>
        </w:rPr>
        <w:t xml:space="preserve">. </w:t>
      </w:r>
      <w:hyperlink r:id="rId14" w:tgtFrame="_new" w:history="1">
        <w:r w:rsidRPr="006362B5">
          <w:rPr>
            <w:rStyle w:val="Hipervnculo"/>
            <w:rFonts w:ascii="Aptos" w:hAnsi="Aptos"/>
          </w:rPr>
          <w:t>https://taylorandfrancis.com/our-policies/ai-policy/</w:t>
        </w:r>
      </w:hyperlink>
    </w:p>
    <w:p w14:paraId="0B101DB6" w14:textId="4593D598" w:rsidR="00D44FAB" w:rsidRPr="006362B5" w:rsidRDefault="00D44FAB" w:rsidP="00D44FAB">
      <w:pPr>
        <w:ind w:left="426" w:hanging="425"/>
        <w:jc w:val="both"/>
        <w:rPr>
          <w:rFonts w:ascii="Aptos" w:hAnsi="Aptos"/>
        </w:rPr>
      </w:pPr>
      <w:r w:rsidRPr="006362B5">
        <w:rPr>
          <w:rFonts w:ascii="Aptos" w:hAnsi="Aptos"/>
        </w:rPr>
        <w:t xml:space="preserve">UNESCO. (2021). </w:t>
      </w:r>
      <w:r w:rsidRPr="006362B5">
        <w:rPr>
          <w:rFonts w:ascii="Aptos" w:hAnsi="Aptos"/>
          <w:i/>
          <w:iCs/>
        </w:rPr>
        <w:t>Recommendation on the Ethics of Artificial Intelligence</w:t>
      </w:r>
      <w:r w:rsidRPr="006362B5">
        <w:rPr>
          <w:rFonts w:ascii="Aptos" w:hAnsi="Aptos"/>
        </w:rPr>
        <w:t xml:space="preserve">. </w:t>
      </w:r>
      <w:hyperlink r:id="rId15" w:history="1">
        <w:r w:rsidRPr="006362B5">
          <w:rPr>
            <w:rStyle w:val="Hipervnculo"/>
            <w:rFonts w:ascii="Aptos" w:hAnsi="Aptos"/>
          </w:rPr>
          <w:t>https://unesdoc.unesco.org/ark:/48223/pf0000380455</w:t>
        </w:r>
      </w:hyperlink>
      <w:r w:rsidRPr="006362B5">
        <w:rPr>
          <w:rFonts w:ascii="Aptos" w:hAnsi="Aptos"/>
        </w:rPr>
        <w:t xml:space="preserve"> </w:t>
      </w:r>
    </w:p>
    <w:p w14:paraId="68159D39" w14:textId="77777777" w:rsidR="00C5301B" w:rsidRPr="006362B5" w:rsidRDefault="00C5301B" w:rsidP="00D44FAB">
      <w:pPr>
        <w:ind w:left="426" w:hanging="425"/>
        <w:jc w:val="both"/>
        <w:rPr>
          <w:rFonts w:ascii="Aptos" w:hAnsi="Aptos"/>
        </w:rPr>
      </w:pPr>
      <w:r w:rsidRPr="006362B5">
        <w:rPr>
          <w:rFonts w:ascii="Aptos" w:hAnsi="Aptos"/>
        </w:rPr>
        <w:t xml:space="preserve">Wiley. (s. f.). </w:t>
      </w:r>
      <w:r w:rsidRPr="006362B5">
        <w:rPr>
          <w:rFonts w:ascii="Aptos" w:hAnsi="Aptos"/>
          <w:i/>
          <w:iCs/>
        </w:rPr>
        <w:t>AI guidelines for authors and reviewers</w:t>
      </w:r>
      <w:r w:rsidRPr="006362B5">
        <w:rPr>
          <w:rFonts w:ascii="Aptos" w:hAnsi="Aptos"/>
        </w:rPr>
        <w:t xml:space="preserve">. </w:t>
      </w:r>
      <w:hyperlink r:id="rId16" w:tgtFrame="_new" w:history="1">
        <w:r w:rsidRPr="006362B5">
          <w:rPr>
            <w:rStyle w:val="Hipervnculo"/>
            <w:rFonts w:ascii="Aptos" w:hAnsi="Aptos"/>
          </w:rPr>
          <w:t>https://www.wiley.com/en-us/publish/book/resources/ai-guidelines/</w:t>
        </w:r>
      </w:hyperlink>
    </w:p>
    <w:p w14:paraId="4B142F6E" w14:textId="77777777" w:rsidR="00C5301B" w:rsidRPr="006362B5" w:rsidRDefault="00C5301B" w:rsidP="00D44FAB">
      <w:pPr>
        <w:jc w:val="both"/>
        <w:rPr>
          <w:rFonts w:ascii="Aptos" w:hAnsi="Aptos"/>
        </w:rPr>
      </w:pPr>
    </w:p>
    <w:p w14:paraId="73D6026D" w14:textId="77777777" w:rsidR="00C5301B" w:rsidRPr="006362B5" w:rsidRDefault="00C5301B" w:rsidP="00D44FAB">
      <w:pPr>
        <w:jc w:val="both"/>
        <w:rPr>
          <w:rFonts w:ascii="Aptos" w:hAnsi="Aptos"/>
        </w:rPr>
      </w:pPr>
    </w:p>
    <w:sectPr w:rsidR="00C5301B" w:rsidRPr="006362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604FC3"/>
    <w:multiLevelType w:val="hybridMultilevel"/>
    <w:tmpl w:val="88BCFB0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D4CFF"/>
    <w:multiLevelType w:val="hybridMultilevel"/>
    <w:tmpl w:val="83EC9898"/>
    <w:lvl w:ilvl="0" w:tplc="9A729CB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851250">
    <w:abstractNumId w:val="8"/>
  </w:num>
  <w:num w:numId="2" w16cid:durableId="1086224764">
    <w:abstractNumId w:val="6"/>
  </w:num>
  <w:num w:numId="3" w16cid:durableId="728191612">
    <w:abstractNumId w:val="5"/>
  </w:num>
  <w:num w:numId="4" w16cid:durableId="1490289338">
    <w:abstractNumId w:val="4"/>
  </w:num>
  <w:num w:numId="5" w16cid:durableId="2003775373">
    <w:abstractNumId w:val="7"/>
  </w:num>
  <w:num w:numId="6" w16cid:durableId="1725907598">
    <w:abstractNumId w:val="3"/>
  </w:num>
  <w:num w:numId="7" w16cid:durableId="1164711162">
    <w:abstractNumId w:val="2"/>
  </w:num>
  <w:num w:numId="8" w16cid:durableId="85077065">
    <w:abstractNumId w:val="1"/>
  </w:num>
  <w:num w:numId="9" w16cid:durableId="41633000">
    <w:abstractNumId w:val="0"/>
  </w:num>
  <w:num w:numId="10" w16cid:durableId="449320711">
    <w:abstractNumId w:val="9"/>
  </w:num>
  <w:num w:numId="11" w16cid:durableId="1837646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46D"/>
    <w:rsid w:val="0015074B"/>
    <w:rsid w:val="0029639D"/>
    <w:rsid w:val="00326F90"/>
    <w:rsid w:val="00373EA5"/>
    <w:rsid w:val="005740A5"/>
    <w:rsid w:val="006362B5"/>
    <w:rsid w:val="0066112B"/>
    <w:rsid w:val="00897FA6"/>
    <w:rsid w:val="00A00A50"/>
    <w:rsid w:val="00A70F44"/>
    <w:rsid w:val="00AA1D8D"/>
    <w:rsid w:val="00B47730"/>
    <w:rsid w:val="00C5301B"/>
    <w:rsid w:val="00CB0664"/>
    <w:rsid w:val="00D44FAB"/>
    <w:rsid w:val="00DE1195"/>
    <w:rsid w:val="00F636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A28A9"/>
  <w14:defaultImageDpi w14:val="300"/>
  <w15:docId w15:val="{871B56BB-D59A-4B0A-A01D-23833FBE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C5301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4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ethics.org/guidance/cope-position/authorship-and-ai-tools?utm_source=chatgpt.com" TargetMode="External"/><Relationship Id="rId13" Type="http://schemas.openxmlformats.org/officeDocument/2006/relationships/hyperlink" Target="https://www.springernature.com/gp/policies/editorial-policies?utm_source=chatgpt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bmj.com/about-bmj/resources-authors/article-submission/ai-use" TargetMode="External"/><Relationship Id="rId12" Type="http://schemas.openxmlformats.org/officeDocument/2006/relationships/hyperlink" Target="https://revistas.tec.ac.cr/index.php/tec_marcha/libraryFiles/downloadPublic/115?utm_source=chatgpt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iley.com/en-us/publish/book/resources/ai-guidelines/?utm_source=chatgpt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5281/zenodo.16044716" TargetMode="External"/><Relationship Id="rId11" Type="http://schemas.openxmlformats.org/officeDocument/2006/relationships/hyperlink" Target="https://journals.plos.org/plosone/s/ethical-publishing-practice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esdoc.unesco.org/ark:/48223/pf0000380455" TargetMode="External"/><Relationship Id="rId10" Type="http://schemas.openxmlformats.org/officeDocument/2006/relationships/hyperlink" Target="https://www.icmje.org/recommendations/browse/roles-and-responsibilities/defining-the-role-of-authors-and-contributors.html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sevier.com/about/policies-and-standards/generative-ai-policies-for-journals?utm_source=chatgpt.com" TargetMode="External"/><Relationship Id="rId14" Type="http://schemas.openxmlformats.org/officeDocument/2006/relationships/hyperlink" Target="https://taylorandfrancis.com/our-policies/ai-policy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19bb90-88ba-4894-b7f1-de26e129d977}" enabled="0" method="" siteId="{1119bb90-88ba-4894-b7f1-de26e129d9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Monica Zuniga Rivera</cp:lastModifiedBy>
  <cp:revision>6</cp:revision>
  <dcterms:created xsi:type="dcterms:W3CDTF">2026-01-30T20:10:00Z</dcterms:created>
  <dcterms:modified xsi:type="dcterms:W3CDTF">2026-03-04T14:28:00Z</dcterms:modified>
  <cp:category/>
</cp:coreProperties>
</file>